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FF0" w:rsidRDefault="00903FF0">
      <w:pPr>
        <w:spacing w:after="0"/>
        <w:jc w:val="left"/>
        <w:rPr>
          <w:rFonts w:ascii="Arial" w:eastAsia="Arial" w:hAnsi="Arial" w:cs="Arial"/>
          <w:b/>
          <w:smallCaps/>
          <w:color w:val="000000"/>
          <w:sz w:val="24"/>
          <w:szCs w:val="24"/>
        </w:rPr>
      </w:pPr>
      <w:bookmarkStart w:id="0" w:name="_GoBack"/>
      <w:bookmarkEnd w:id="0"/>
    </w:p>
    <w:p w:rsidR="00903FF0" w:rsidRDefault="00B11496">
      <w:pPr>
        <w:pBdr>
          <w:top w:val="nil"/>
          <w:left w:val="nil"/>
          <w:bottom w:val="nil"/>
          <w:right w:val="nil"/>
          <w:between w:val="nil"/>
        </w:pBdr>
        <w:tabs>
          <w:tab w:val="left" w:pos="142"/>
        </w:tabs>
        <w:spacing w:before="120"/>
        <w:ind w:left="360" w:hanging="360"/>
        <w:jc w:val="left"/>
        <w:rPr>
          <w:rFonts w:ascii="Arial" w:eastAsia="Arial" w:hAnsi="Arial" w:cs="Arial"/>
          <w:b/>
          <w:color w:val="000000"/>
          <w:sz w:val="36"/>
          <w:szCs w:val="36"/>
        </w:rPr>
      </w:pPr>
      <w:bookmarkStart w:id="1" w:name="_heading=h.gjdgxs" w:colFirst="0" w:colLast="0"/>
      <w:bookmarkEnd w:id="1"/>
      <w:r>
        <w:rPr>
          <w:rFonts w:ascii="Arial" w:eastAsia="Arial" w:hAnsi="Arial" w:cs="Arial"/>
          <w:b/>
          <w:color w:val="000000"/>
          <w:sz w:val="36"/>
          <w:szCs w:val="36"/>
        </w:rPr>
        <w:t>Call-Off Schedule 28 (TUPE Surcharge)</w:t>
      </w:r>
    </w:p>
    <w:p w:rsidR="00903FF0" w:rsidRDefault="00903FF0">
      <w:pPr>
        <w:pBdr>
          <w:top w:val="nil"/>
          <w:left w:val="nil"/>
          <w:bottom w:val="nil"/>
          <w:right w:val="nil"/>
          <w:between w:val="nil"/>
        </w:pBdr>
        <w:tabs>
          <w:tab w:val="left" w:pos="142"/>
        </w:tabs>
        <w:spacing w:before="120"/>
        <w:ind w:left="360" w:hanging="360"/>
        <w:jc w:val="left"/>
        <w:rPr>
          <w:rFonts w:ascii="Arial" w:eastAsia="Arial" w:hAnsi="Arial" w:cs="Arial"/>
          <w:b/>
          <w:color w:val="000000"/>
          <w:sz w:val="6"/>
          <w:szCs w:val="6"/>
        </w:rPr>
      </w:pPr>
      <w:bookmarkStart w:id="2" w:name="_heading=h.30j0zll" w:colFirst="0" w:colLast="0"/>
      <w:bookmarkEnd w:id="2"/>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903FF0">
        <w:tc>
          <w:tcPr>
            <w:tcW w:w="9016" w:type="dxa"/>
            <w:gridSpan w:val="2"/>
          </w:tcPr>
          <w:p w:rsidR="00903FF0" w:rsidRDefault="00B11496">
            <w:pPr>
              <w:spacing w:after="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(i) Joint Schedule 1 (Definitions) and (ii) Call–Off Schedule 2 (Staff Transfer):</w:t>
            </w:r>
          </w:p>
        </w:tc>
      </w:tr>
      <w:tr w:rsidR="00903FF0">
        <w:tc>
          <w:tcPr>
            <w:tcW w:w="4508" w:type="dxa"/>
          </w:tcPr>
          <w:p w:rsidR="00903FF0" w:rsidRDefault="00B11496">
            <w:pPr>
              <w:keepNext/>
              <w:pBdr>
                <w:top w:val="nil"/>
                <w:left w:val="nil"/>
                <w:bottom w:val="nil"/>
                <w:right w:val="nil"/>
                <w:between w:val="nil"/>
              </w:pBdr>
              <w:rPr>
                <w:rFonts w:ascii="Arial" w:eastAsia="Arial" w:hAnsi="Arial" w:cs="Arial"/>
                <w:b/>
                <w:smallCaps/>
                <w:color w:val="000000"/>
                <w:sz w:val="24"/>
                <w:szCs w:val="24"/>
              </w:rPr>
            </w:pPr>
            <w:r>
              <w:rPr>
                <w:rFonts w:ascii="Arial" w:eastAsia="Arial" w:hAnsi="Arial" w:cs="Arial"/>
                <w:b/>
                <w:smallCaps/>
                <w:color w:val="000000"/>
                <w:sz w:val="24"/>
                <w:szCs w:val="24"/>
              </w:rPr>
              <w:t>DEFINITION</w:t>
            </w:r>
          </w:p>
        </w:tc>
        <w:tc>
          <w:tcPr>
            <w:tcW w:w="4508" w:type="dxa"/>
          </w:tcPr>
          <w:p w:rsidR="00903FF0" w:rsidRDefault="00B11496">
            <w:pPr>
              <w:keepNext/>
              <w:pBdr>
                <w:top w:val="nil"/>
                <w:left w:val="nil"/>
                <w:bottom w:val="nil"/>
                <w:right w:val="nil"/>
                <w:between w:val="nil"/>
              </w:pBdr>
              <w:rPr>
                <w:rFonts w:ascii="Arial" w:eastAsia="Arial" w:hAnsi="Arial" w:cs="Arial"/>
                <w:b/>
                <w:smallCaps/>
                <w:color w:val="000000"/>
                <w:sz w:val="24"/>
                <w:szCs w:val="24"/>
              </w:rPr>
            </w:pPr>
            <w:r>
              <w:rPr>
                <w:rFonts w:ascii="Arial" w:eastAsia="Arial" w:hAnsi="Arial" w:cs="Arial"/>
                <w:b/>
                <w:smallCaps/>
                <w:color w:val="000000"/>
                <w:sz w:val="24"/>
                <w:szCs w:val="24"/>
              </w:rPr>
              <w:t>MEANING</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“Annual Pension Cost”</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Employer Pension Contributions, subject to the Employer Pension Contribution Cap;</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“Direct Award TUPE Risk Premium”</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r>
            <w:r>
              <w:rPr>
                <w:rFonts w:ascii="Arial" w:eastAsia="Arial" w:hAnsi="Arial" w:cs="Arial"/>
                <w:color w:val="000000"/>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the equivalent costs to employ staff used by the Supplier at Further Competition,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in respect of payments due under contracts of employment in respect of the following: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r>
            <w:r>
              <w:rPr>
                <w:rFonts w:ascii="Arial" w:eastAsia="Arial" w:hAnsi="Arial" w:cs="Arial"/>
                <w:color w:val="000000"/>
                <w:sz w:val="24"/>
                <w:szCs w:val="24"/>
              </w:rPr>
              <w:t>annual life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 xml:space="preserve">any other cost arising directly from the contract of employment of the Transferring Former Supplier Employee and or Transferring Buyer Employee,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as set out</w:t>
            </w:r>
            <w:r>
              <w:rPr>
                <w:rFonts w:ascii="Arial" w:eastAsia="Arial" w:hAnsi="Arial" w:cs="Arial"/>
                <w:color w:val="000000"/>
                <w:sz w:val="24"/>
                <w:szCs w:val="24"/>
              </w:rPr>
              <w:t xml:space="preserve"> in paragraph 1 of Call Off Schedule 28 (TUPE Surcharge);</w:t>
            </w:r>
          </w:p>
          <w:p w:rsidR="00903FF0" w:rsidRDefault="00903FF0">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“Cost of Change”</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w:t>
            </w:r>
            <w:r>
              <w:rPr>
                <w:rFonts w:ascii="Arial" w:eastAsia="Arial" w:hAnsi="Arial" w:cs="Arial"/>
                <w:color w:val="000000"/>
                <w:sz w:val="24"/>
                <w:szCs w:val="24"/>
              </w:rPr>
              <w:t xml:space="preserve"> limited to: staff consultation, redeployment costs, short-term salary cover associated with redeployment or release of labour, and temporary staffing;</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"Employer Pension Contribution"</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standard employer pension contributions paid in accordance with t</w:t>
            </w:r>
            <w:r>
              <w:rPr>
                <w:rFonts w:ascii="Arial" w:eastAsia="Arial" w:hAnsi="Arial" w:cs="Arial"/>
                <w:color w:val="000000"/>
                <w:sz w:val="24"/>
                <w:szCs w:val="24"/>
              </w:rPr>
              <w:t>he relevant pension scheme rules and used in the calculation of the TUPE Risk Premium less any costs recoverable under Annex D3: LGPS of Part D Pensions of Schedule 2 Staff Transfer;</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"Employer Pension Contribution Cap"</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the 6% maximum rate of Employe</w:t>
            </w:r>
            <w:r>
              <w:rPr>
                <w:rFonts w:ascii="Arial" w:eastAsia="Arial" w:hAnsi="Arial" w:cs="Arial"/>
                <w:color w:val="000000"/>
                <w:sz w:val="24"/>
                <w:szCs w:val="24"/>
              </w:rPr>
              <w:t>r Pension Contribution used in the calculation of the TUPE Risk Premium;</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“Fixed Fee TUPE Risk Premium”</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r>
            <w:r>
              <w:rPr>
                <w:rFonts w:ascii="Arial" w:eastAsia="Arial" w:hAnsi="Arial" w:cs="Arial"/>
                <w:color w:val="000000"/>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w:t>
            </w:r>
            <w:r>
              <w:rPr>
                <w:rFonts w:ascii="Arial" w:eastAsia="Arial" w:hAnsi="Arial" w:cs="Arial"/>
                <w:color w:val="000000"/>
                <w:sz w:val="24"/>
                <w:szCs w:val="24"/>
              </w:rPr>
              <w:t>he equivalent costs to employ staff used by the Supplier at Further Competition,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in respect of payments due under contracts of employment in respect of the following: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r>
            <w:r>
              <w:rPr>
                <w:rFonts w:ascii="Arial" w:eastAsia="Arial" w:hAnsi="Arial" w:cs="Arial"/>
                <w:color w:val="000000"/>
                <w:sz w:val="24"/>
                <w:szCs w:val="24"/>
              </w:rPr>
              <w:t>annual life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lastRenderedPageBreak/>
              <w:t>v)</w:t>
            </w:r>
            <w:r>
              <w:rPr>
                <w:rFonts w:ascii="Arial" w:eastAsia="Arial" w:hAnsi="Arial" w:cs="Arial"/>
                <w:color w:val="000000"/>
                <w:sz w:val="24"/>
                <w:szCs w:val="24"/>
              </w:rPr>
              <w:tab/>
              <w:t>annual sick pay entitlement;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 xml:space="preserve">any other cost arising directly from the contract of employment of the Transferring Former Supplier Employee and or Transferring Buyer Employee,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as set out</w:t>
            </w:r>
            <w:r>
              <w:rPr>
                <w:rFonts w:ascii="Arial" w:eastAsia="Arial" w:hAnsi="Arial" w:cs="Arial"/>
                <w:color w:val="000000"/>
                <w:sz w:val="24"/>
                <w:szCs w:val="24"/>
              </w:rPr>
              <w:t xml:space="preserve"> in paragraph 3 of Call Off Schedule 28 (TUPE Surcharge);</w:t>
            </w:r>
          </w:p>
          <w:p w:rsidR="00903FF0" w:rsidRDefault="00903FF0">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"Further Competition TUPE Risk Premium"</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r>
            <w:r>
              <w:rPr>
                <w:rFonts w:ascii="Arial" w:eastAsia="Arial" w:hAnsi="Arial" w:cs="Arial"/>
                <w:color w:val="000000"/>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w:t>
            </w:r>
            <w:r>
              <w:rPr>
                <w:rFonts w:ascii="Arial" w:eastAsia="Arial" w:hAnsi="Arial" w:cs="Arial"/>
                <w:color w:val="000000"/>
                <w:sz w:val="24"/>
                <w:szCs w:val="24"/>
              </w:rPr>
              <w:t>he equivalent costs to employ staff used by the Supplier at Further Competition,</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in respect of payments due under contracts of employment in respect of the following: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w:t>
            </w:r>
            <w:r>
              <w:rPr>
                <w:rFonts w:ascii="Arial" w:eastAsia="Arial" w:hAnsi="Arial" w:cs="Arial"/>
                <w:color w:val="000000"/>
                <w:sz w:val="24"/>
                <w:szCs w:val="24"/>
              </w:rPr>
              <w:t>al life insurance cost;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 xml:space="preserve">any other cost arising directly from the contract of employment of the Transferring Former Supplier Employee and or Transferring Buyer Employee,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as set out in </w:t>
            </w:r>
            <w:r>
              <w:rPr>
                <w:rFonts w:ascii="Arial" w:eastAsia="Arial" w:hAnsi="Arial" w:cs="Arial"/>
                <w:color w:val="000000"/>
                <w:sz w:val="24"/>
                <w:szCs w:val="24"/>
              </w:rPr>
              <w:t>paragraph 2 of Call Off Schedule 28 (TUPE Surcharge);</w:t>
            </w:r>
          </w:p>
          <w:p w:rsidR="00903FF0" w:rsidRDefault="00903FF0">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“Labour Count”</w:t>
            </w:r>
          </w:p>
        </w:tc>
        <w:tc>
          <w:tcPr>
            <w:tcW w:w="4508" w:type="dxa"/>
            <w:vAlign w:val="center"/>
          </w:tcPr>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202124"/>
                <w:sz w:val="24"/>
                <w:szCs w:val="24"/>
              </w:rPr>
            </w:pPr>
            <w:r>
              <w:rPr>
                <w:rFonts w:ascii="Arial" w:eastAsia="Arial" w:hAnsi="Arial" w:cs="Arial"/>
                <w:color w:val="202124"/>
                <w:sz w:val="24"/>
                <w:szCs w:val="24"/>
              </w:rPr>
              <w:t>means</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202124"/>
                <w:sz w:val="24"/>
                <w:szCs w:val="24"/>
              </w:rPr>
            </w:pPr>
            <w:r>
              <w:rPr>
                <w:rFonts w:ascii="Arial" w:eastAsia="Arial" w:hAnsi="Arial" w:cs="Arial"/>
                <w:color w:val="202124"/>
                <w:sz w:val="24"/>
                <w:szCs w:val="24"/>
              </w:rPr>
              <w:lastRenderedPageBreak/>
              <w:t xml:space="preserve">  the total number of Transferring Former Supplier Employees and/or</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202124"/>
                <w:sz w:val="24"/>
                <w:szCs w:val="24"/>
              </w:rPr>
              <w:t xml:space="preserve">  Transferring Buyer Employees identified in the Supplier’s solution</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"Other Pension Cost"</w:t>
            </w:r>
          </w:p>
        </w:tc>
        <w:tc>
          <w:tcPr>
            <w:tcW w:w="4508" w:type="dxa"/>
            <w:vAlign w:val="center"/>
          </w:tcPr>
          <w:p w:rsidR="00903FF0" w:rsidRDefault="00903FF0">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p>
          <w:p w:rsidR="00903FF0" w:rsidRDefault="00B11496">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means:</w:t>
            </w:r>
          </w:p>
          <w:p w:rsidR="00903FF0" w:rsidRDefault="00B11496">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a)    in respect of CSPS Eligible Employees those sums set out at Clauses 7.1.1 (annual administration charges covering core services), 7.1.5 (employer contributions), 7.1.7 (the ASLC) and 7.1.8 (flat charges applicable to the Partnership Pension Account) </w:t>
            </w:r>
            <w:r>
              <w:rPr>
                <w:rFonts w:ascii="Arial" w:eastAsia="Arial" w:hAnsi="Arial" w:cs="Arial"/>
                <w:color w:val="000000"/>
                <w:sz w:val="24"/>
                <w:szCs w:val="24"/>
              </w:rPr>
              <w:t>of the CSPS Admission Agreement;</w:t>
            </w:r>
          </w:p>
          <w:p w:rsidR="00903FF0" w:rsidRDefault="00B11496">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b)    in respect of NHSPS Eligible Employees, the standard employer contribution rate applicable to NHS Pensions employers during the Contract Period and payable by the Supplier (but no other costs, contributions, charges o</w:t>
            </w:r>
            <w:r>
              <w:rPr>
                <w:rFonts w:ascii="Arial" w:eastAsia="Arial" w:hAnsi="Arial" w:cs="Arial"/>
                <w:color w:val="000000"/>
                <w:sz w:val="24"/>
                <w:szCs w:val="24"/>
              </w:rPr>
              <w:t>r surcharges payable by the Supplier to or in respect of NHS Pensions or in respect of any NHS Premature Retirement Rights, unless otherwise agreed in writing by the Buyer);</w:t>
            </w:r>
          </w:p>
          <w:p w:rsidR="00903FF0" w:rsidRDefault="00B11496">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c)    in respect of LGPS Eligible Employees, the standard employer contribution ra</w:t>
            </w:r>
            <w:r>
              <w:rPr>
                <w:rFonts w:ascii="Arial" w:eastAsia="Arial" w:hAnsi="Arial" w:cs="Arial"/>
                <w:color w:val="000000"/>
                <w:sz w:val="24"/>
                <w:szCs w:val="24"/>
              </w:rPr>
              <w:t>te applicable to LGPS Eligible Employees during the Contract Period and payable by the Supplier such sums expressed and set out in the rates and adjustments certificate under regulation 62 of the LGPS Regulations (but no other costs, contributions, charges</w:t>
            </w:r>
            <w:r>
              <w:rPr>
                <w:rFonts w:ascii="Arial" w:eastAsia="Arial" w:hAnsi="Arial" w:cs="Arial"/>
                <w:color w:val="000000"/>
                <w:sz w:val="24"/>
                <w:szCs w:val="24"/>
              </w:rPr>
              <w:t xml:space="preserve"> or surcharges payable by the Supplier to or in respect of the LGPS unless otherwise agreed in writing by the Authority) less any costs recoverable under Annex D3: LGPS of Part D Pensions of Schedule 2 Staff Transfer; and </w:t>
            </w:r>
          </w:p>
          <w:p w:rsidR="00903FF0" w:rsidRDefault="00B11496">
            <w:pPr>
              <w:pBdr>
                <w:top w:val="nil"/>
                <w:left w:val="nil"/>
                <w:bottom w:val="nil"/>
                <w:right w:val="nil"/>
                <w:between w:val="nil"/>
              </w:pBdr>
              <w:tabs>
                <w:tab w:val="left" w:pos="175"/>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d)    such other pension contributions, charges or costs incurred by the Supplier which have been expressly agreed by the Buyer in writing to constitute “Other Pension Costs”</w:t>
            </w:r>
          </w:p>
        </w:tc>
      </w:tr>
      <w:tr w:rsidR="00903FF0">
        <w:tc>
          <w:tcPr>
            <w:tcW w:w="4508" w:type="dxa"/>
            <w:vAlign w:val="center"/>
          </w:tcPr>
          <w:p w:rsidR="00903FF0" w:rsidRDefault="00B11496">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"TUPE Count"</w:t>
            </w:r>
          </w:p>
        </w:tc>
        <w:tc>
          <w:tcPr>
            <w:tcW w:w="4508" w:type="dxa"/>
            <w:vAlign w:val="center"/>
          </w:tcPr>
          <w:p w:rsidR="00903FF0" w:rsidRDefault="00B11496">
            <w:pPr>
              <w:pBdr>
                <w:top w:val="nil"/>
                <w:left w:val="nil"/>
                <w:bottom w:val="nil"/>
                <w:right w:val="nil"/>
                <w:between w:val="nil"/>
              </w:pBdr>
              <w:tabs>
                <w:tab w:val="left" w:pos="175"/>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means the total number of Transferring Former Supplier Employees and/or Transferring Buyer Employees identified in the Employee Liability  Information;</w:t>
            </w:r>
          </w:p>
        </w:tc>
      </w:tr>
      <w:tr w:rsidR="00903FF0">
        <w:tc>
          <w:tcPr>
            <w:tcW w:w="4508" w:type="dxa"/>
            <w:vAlign w:val="center"/>
          </w:tcPr>
          <w:p w:rsidR="00903FF0" w:rsidRDefault="00B11496">
            <w:pPr>
              <w:ind w:left="72"/>
              <w:jc w:val="center"/>
              <w:rPr>
                <w:rFonts w:ascii="Arial" w:eastAsia="Arial" w:hAnsi="Arial" w:cs="Arial"/>
                <w:b/>
                <w:color w:val="000000"/>
                <w:sz w:val="24"/>
                <w:szCs w:val="24"/>
              </w:rPr>
            </w:pPr>
            <w:r>
              <w:rPr>
                <w:rFonts w:ascii="Arial" w:eastAsia="Arial" w:hAnsi="Arial" w:cs="Arial"/>
                <w:b/>
                <w:color w:val="000000"/>
                <w:sz w:val="24"/>
                <w:szCs w:val="24"/>
              </w:rPr>
              <w:t>"TUPE Risk Premium"</w:t>
            </w:r>
          </w:p>
        </w:tc>
        <w:tc>
          <w:tcPr>
            <w:tcW w:w="4508" w:type="dxa"/>
            <w:vAlign w:val="center"/>
          </w:tcPr>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means either the:</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Further Competition TUPE Risk Premium; or</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Fixed Fee TUPE Risk Premium,</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as the context requires;</w:t>
            </w:r>
          </w:p>
        </w:tc>
      </w:tr>
      <w:tr w:rsidR="00903FF0">
        <w:tc>
          <w:tcPr>
            <w:tcW w:w="4508" w:type="dxa"/>
            <w:vAlign w:val="center"/>
          </w:tcPr>
          <w:p w:rsidR="00903FF0" w:rsidRDefault="00B11496">
            <w:pPr>
              <w:ind w:left="72"/>
              <w:jc w:val="center"/>
              <w:rPr>
                <w:rFonts w:ascii="Arial" w:eastAsia="Arial" w:hAnsi="Arial" w:cs="Arial"/>
                <w:b/>
                <w:color w:val="000000"/>
                <w:sz w:val="24"/>
                <w:szCs w:val="24"/>
              </w:rPr>
            </w:pPr>
            <w:r>
              <w:rPr>
                <w:rFonts w:ascii="Arial" w:eastAsia="Arial" w:hAnsi="Arial" w:cs="Arial"/>
                <w:b/>
                <w:color w:val="000000"/>
                <w:sz w:val="24"/>
                <w:szCs w:val="24"/>
              </w:rPr>
              <w:t>"TUPE Risk Premium Average"</w:t>
            </w:r>
          </w:p>
        </w:tc>
        <w:tc>
          <w:tcPr>
            <w:tcW w:w="4508" w:type="dxa"/>
            <w:vAlign w:val="center"/>
          </w:tcPr>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means the average  calculated by dividing the Further Competition TUPE Risk Premium by the lower of either:</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Labour Count; or</w:t>
            </w:r>
          </w:p>
          <w:p w:rsidR="00903FF0" w:rsidRDefault="00B11496">
            <w:pPr>
              <w:pBdr>
                <w:top w:val="nil"/>
                <w:left w:val="nil"/>
                <w:bottom w:val="nil"/>
                <w:right w:val="nil"/>
                <w:between w:val="nil"/>
              </w:pBdr>
              <w:tabs>
                <w:tab w:val="left" w:pos="175"/>
                <w:tab w:val="left" w:pos="-179"/>
              </w:tabs>
              <w:spacing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TUPE Count.</w:t>
            </w:r>
          </w:p>
        </w:tc>
      </w:tr>
    </w:tbl>
    <w:p w:rsidR="00903FF0" w:rsidRDefault="00903FF0">
      <w:pPr>
        <w:keepNext/>
        <w:pBdr>
          <w:top w:val="nil"/>
          <w:left w:val="nil"/>
          <w:bottom w:val="nil"/>
          <w:right w:val="nil"/>
          <w:between w:val="nil"/>
        </w:pBdr>
        <w:rPr>
          <w:rFonts w:ascii="Arial" w:eastAsia="Arial" w:hAnsi="Arial" w:cs="Arial"/>
          <w:b/>
          <w:smallCaps/>
          <w:color w:val="000000"/>
          <w:sz w:val="24"/>
          <w:szCs w:val="24"/>
        </w:rPr>
      </w:pPr>
    </w:p>
    <w:p w:rsidR="00903FF0" w:rsidRDefault="00903FF0">
      <w:pPr>
        <w:keepNext/>
        <w:pBdr>
          <w:top w:val="nil"/>
          <w:left w:val="nil"/>
          <w:bottom w:val="nil"/>
          <w:right w:val="nil"/>
          <w:between w:val="nil"/>
        </w:pBdr>
        <w:rPr>
          <w:rFonts w:ascii="Arial" w:eastAsia="Arial" w:hAnsi="Arial" w:cs="Arial"/>
          <w:b/>
          <w:smallCaps/>
          <w:color w:val="000000"/>
          <w:sz w:val="24"/>
          <w:szCs w:val="24"/>
        </w:rPr>
      </w:pPr>
    </w:p>
    <w:p w:rsidR="00903FF0" w:rsidRDefault="00B11496">
      <w:pPr>
        <w:numPr>
          <w:ilvl w:val="0"/>
          <w:numId w:val="2"/>
        </w:numPr>
        <w:pBdr>
          <w:top w:val="nil"/>
          <w:left w:val="nil"/>
          <w:bottom w:val="nil"/>
          <w:right w:val="nil"/>
          <w:between w:val="nil"/>
        </w:pBdr>
        <w:tabs>
          <w:tab w:val="left" w:pos="1134"/>
        </w:tabs>
        <w:spacing w:before="120" w:after="120"/>
        <w:rPr>
          <w:color w:val="000000"/>
          <w:sz w:val="24"/>
          <w:szCs w:val="24"/>
        </w:rPr>
      </w:pPr>
      <w:r>
        <w:rPr>
          <w:rFonts w:ascii="Arial" w:eastAsia="Arial" w:hAnsi="Arial" w:cs="Arial"/>
          <w:b/>
          <w:color w:val="000000"/>
          <w:sz w:val="24"/>
          <w:szCs w:val="24"/>
        </w:rPr>
        <w:t xml:space="preserve">Option 1 – Direct Award – TUPE Risk Premium </w:t>
      </w: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color w:val="000000"/>
          <w:sz w:val="24"/>
          <w:szCs w:val="24"/>
        </w:rPr>
        <w:t>The Direct Award TUPE Risk Premium shall be priced for during the Mobilisation Period (as agreed by the Buyer) and shall follow the process described within Option 2 – Further Competition TUPE Risk Premium.</w:t>
      </w:r>
    </w:p>
    <w:p w:rsidR="00903FF0" w:rsidRDefault="00903FF0">
      <w:pPr>
        <w:pBdr>
          <w:top w:val="nil"/>
          <w:left w:val="nil"/>
          <w:bottom w:val="nil"/>
          <w:right w:val="nil"/>
          <w:between w:val="nil"/>
        </w:pBdr>
        <w:tabs>
          <w:tab w:val="left" w:pos="1134"/>
        </w:tabs>
        <w:spacing w:before="120" w:after="120"/>
        <w:ind w:left="936"/>
        <w:rPr>
          <w:rFonts w:ascii="Arial" w:eastAsia="Arial" w:hAnsi="Arial" w:cs="Arial"/>
          <w:color w:val="000000"/>
          <w:sz w:val="24"/>
          <w:szCs w:val="24"/>
        </w:rPr>
      </w:pPr>
    </w:p>
    <w:p w:rsidR="00903FF0" w:rsidRDefault="00B11496">
      <w:pPr>
        <w:numPr>
          <w:ilvl w:val="0"/>
          <w:numId w:val="2"/>
        </w:numPr>
        <w:pBdr>
          <w:top w:val="nil"/>
          <w:left w:val="nil"/>
          <w:bottom w:val="nil"/>
          <w:right w:val="nil"/>
          <w:between w:val="nil"/>
        </w:pBdr>
        <w:tabs>
          <w:tab w:val="left" w:pos="1134"/>
        </w:tabs>
        <w:spacing w:before="120" w:after="12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Option 2- Further Competition TUPE Risk Premium</w:t>
      </w: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color w:val="000000"/>
          <w:sz w:val="24"/>
          <w:szCs w:val="24"/>
        </w:rPr>
        <w:t xml:space="preserve">The Further Competition TUPE Risk Premium shall be priced for at Further Competition as set out in Annex </w:t>
      </w:r>
      <w:r>
        <w:rPr>
          <w:rFonts w:ascii="Arial" w:eastAsia="Arial" w:hAnsi="Arial" w:cs="Arial"/>
          <w:sz w:val="24"/>
          <w:szCs w:val="24"/>
        </w:rPr>
        <w:t>C</w:t>
      </w:r>
      <w:r>
        <w:rPr>
          <w:rFonts w:ascii="Arial" w:eastAsia="Arial" w:hAnsi="Arial" w:cs="Arial"/>
          <w:color w:val="000000"/>
          <w:sz w:val="24"/>
          <w:szCs w:val="24"/>
        </w:rPr>
        <w:t xml:space="preserve"> - </w:t>
      </w:r>
      <w:r>
        <w:rPr>
          <w:rFonts w:ascii="Arial" w:eastAsia="Arial" w:hAnsi="Arial" w:cs="Arial"/>
          <w:sz w:val="24"/>
          <w:szCs w:val="24"/>
        </w:rPr>
        <w:t>Framework</w:t>
      </w:r>
      <w:r>
        <w:rPr>
          <w:rFonts w:ascii="Arial" w:eastAsia="Arial" w:hAnsi="Arial" w:cs="Arial"/>
          <w:color w:val="000000"/>
          <w:sz w:val="24"/>
          <w:szCs w:val="24"/>
        </w:rPr>
        <w:t xml:space="preserve"> Schedule </w:t>
      </w:r>
      <w:r>
        <w:rPr>
          <w:rFonts w:ascii="Arial" w:eastAsia="Arial" w:hAnsi="Arial" w:cs="Arial"/>
          <w:sz w:val="24"/>
          <w:szCs w:val="24"/>
        </w:rPr>
        <w:t>7</w:t>
      </w:r>
      <w:r>
        <w:rPr>
          <w:rFonts w:ascii="Arial" w:eastAsia="Arial" w:hAnsi="Arial" w:cs="Arial"/>
          <w:color w:val="000000"/>
          <w:sz w:val="24"/>
          <w:szCs w:val="24"/>
        </w:rPr>
        <w:t xml:space="preserve"> (</w:t>
      </w:r>
      <w:r>
        <w:rPr>
          <w:rFonts w:ascii="Arial" w:eastAsia="Arial" w:hAnsi="Arial" w:cs="Arial"/>
          <w:sz w:val="24"/>
          <w:szCs w:val="24"/>
        </w:rPr>
        <w:t>Call-Off Award Procedure</w:t>
      </w:r>
      <w:r>
        <w:rPr>
          <w:rFonts w:ascii="Arial" w:eastAsia="Arial" w:hAnsi="Arial" w:cs="Arial"/>
          <w:color w:val="000000"/>
          <w:sz w:val="24"/>
          <w:szCs w:val="24"/>
        </w:rPr>
        <w:t>)</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Where a Relevant Transfer takes place, or will take place, the Supplier shall, no later than 20 Working Days after the Relevant Transfer Date, submit to the Buyer: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notice that no adjustment is required and the Further Competition TUPE Risk Premium submitte</w:t>
      </w:r>
      <w:r>
        <w:rPr>
          <w:rFonts w:ascii="Arial" w:eastAsia="Arial" w:hAnsi="Arial" w:cs="Arial"/>
          <w:color w:val="000000"/>
          <w:sz w:val="24"/>
          <w:szCs w:val="24"/>
        </w:rPr>
        <w:t xml:space="preserve">d at Call-Off Tender will be used. </w:t>
      </w:r>
    </w:p>
    <w:p w:rsidR="00903FF0" w:rsidRDefault="00B11496">
      <w:pPr>
        <w:pBdr>
          <w:top w:val="nil"/>
          <w:left w:val="nil"/>
          <w:bottom w:val="nil"/>
          <w:right w:val="nil"/>
          <w:between w:val="nil"/>
        </w:pBdr>
        <w:tabs>
          <w:tab w:val="left" w:pos="1985"/>
        </w:tabs>
        <w:spacing w:before="120" w:after="120"/>
        <w:ind w:left="2610" w:hanging="720"/>
        <w:rPr>
          <w:rFonts w:ascii="Arial" w:eastAsia="Arial" w:hAnsi="Arial" w:cs="Arial"/>
          <w:color w:val="000000"/>
          <w:sz w:val="24"/>
          <w:szCs w:val="24"/>
        </w:rPr>
      </w:pPr>
      <w:r>
        <w:rPr>
          <w:rFonts w:ascii="Arial" w:eastAsia="Arial" w:hAnsi="Arial" w:cs="Arial"/>
          <w:color w:val="000000"/>
          <w:sz w:val="24"/>
          <w:szCs w:val="24"/>
        </w:rPr>
        <w:t>or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its updated calculation of the Further Competition TUPE Risk Premium together with a breakdown and supporting evidence as may be reasonably required for the Buyer to corroborate and assess the calculation of the Furth</w:t>
      </w:r>
      <w:r>
        <w:rPr>
          <w:rFonts w:ascii="Arial" w:eastAsia="Arial" w:hAnsi="Arial" w:cs="Arial"/>
          <w:color w:val="000000"/>
          <w:sz w:val="24"/>
          <w:szCs w:val="24"/>
        </w:rPr>
        <w:t>er Competition TUPE Risk Premium.</w:t>
      </w:r>
    </w:p>
    <w:p w:rsidR="00903FF0" w:rsidRDefault="00903FF0">
      <w:pPr>
        <w:pBdr>
          <w:top w:val="nil"/>
          <w:left w:val="nil"/>
          <w:bottom w:val="nil"/>
          <w:right w:val="nil"/>
          <w:between w:val="nil"/>
        </w:pBdr>
        <w:tabs>
          <w:tab w:val="left" w:pos="1134"/>
        </w:tabs>
        <w:spacing w:before="120" w:after="120"/>
        <w:ind w:left="936"/>
        <w:rPr>
          <w:rFonts w:ascii="Arial" w:eastAsia="Arial" w:hAnsi="Arial" w:cs="Arial"/>
          <w:color w:val="000000"/>
          <w:sz w:val="24"/>
          <w:szCs w:val="24"/>
        </w:rPr>
      </w:pP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b/>
          <w:color w:val="000000"/>
          <w:sz w:val="24"/>
          <w:szCs w:val="24"/>
        </w:rPr>
      </w:pPr>
      <w:r>
        <w:rPr>
          <w:rFonts w:ascii="Arial" w:eastAsia="Arial" w:hAnsi="Arial" w:cs="Arial"/>
          <w:b/>
          <w:color w:val="000000"/>
          <w:sz w:val="24"/>
          <w:szCs w:val="24"/>
        </w:rPr>
        <w:t>Further Competition TUPE Risk Premium, when post award adjustment</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may request a Further Competition TUPE Risk Premium adjustment, and the Buyer may grant the request, if:</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 xml:space="preserve">the Supplier can evidence any inaccuracies or omissions in the information in the following areas provided during the Further Competition: </w:t>
      </w:r>
    </w:p>
    <w:p w:rsidR="00903FF0" w:rsidRDefault="00B11496">
      <w:pPr>
        <w:numPr>
          <w:ilvl w:val="4"/>
          <w:numId w:val="2"/>
        </w:numPr>
        <w:pBdr>
          <w:top w:val="nil"/>
          <w:left w:val="nil"/>
          <w:bottom w:val="nil"/>
          <w:right w:val="nil"/>
          <w:between w:val="nil"/>
        </w:pBdr>
        <w:tabs>
          <w:tab w:val="left" w:pos="1985"/>
        </w:tabs>
        <w:spacing w:before="120" w:after="120"/>
        <w:ind w:left="3150" w:hanging="540"/>
        <w:rPr>
          <w:rFonts w:ascii="Arial" w:eastAsia="Arial" w:hAnsi="Arial" w:cs="Arial"/>
          <w:color w:val="000000"/>
          <w:sz w:val="24"/>
          <w:szCs w:val="24"/>
        </w:rPr>
      </w:pPr>
      <w:r>
        <w:rPr>
          <w:rFonts w:ascii="Arial" w:eastAsia="Arial" w:hAnsi="Arial" w:cs="Arial"/>
          <w:color w:val="000000"/>
          <w:sz w:val="24"/>
          <w:szCs w:val="24"/>
        </w:rPr>
        <w:t xml:space="preserve">TUPE Count; </w:t>
      </w:r>
    </w:p>
    <w:p w:rsidR="00903FF0" w:rsidRDefault="00B11496">
      <w:pPr>
        <w:numPr>
          <w:ilvl w:val="4"/>
          <w:numId w:val="2"/>
        </w:numPr>
        <w:pBdr>
          <w:top w:val="nil"/>
          <w:left w:val="nil"/>
          <w:bottom w:val="nil"/>
          <w:right w:val="nil"/>
          <w:between w:val="nil"/>
        </w:pBdr>
        <w:tabs>
          <w:tab w:val="left" w:pos="1985"/>
        </w:tabs>
        <w:spacing w:before="120" w:after="120"/>
        <w:ind w:left="3150" w:hanging="540"/>
        <w:rPr>
          <w:rFonts w:ascii="Arial" w:eastAsia="Arial" w:hAnsi="Arial" w:cs="Arial"/>
          <w:color w:val="000000"/>
          <w:sz w:val="24"/>
          <w:szCs w:val="24"/>
        </w:rPr>
      </w:pPr>
      <w:r>
        <w:rPr>
          <w:rFonts w:ascii="Arial" w:eastAsia="Arial" w:hAnsi="Arial" w:cs="Arial"/>
          <w:color w:val="000000"/>
          <w:sz w:val="24"/>
          <w:szCs w:val="24"/>
        </w:rPr>
        <w:t>any costs covered by the  Further Competition TUPE Risk Premium; and/or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there are any other unknown cos</w:t>
      </w:r>
      <w:r>
        <w:rPr>
          <w:rFonts w:ascii="Arial" w:eastAsia="Arial" w:hAnsi="Arial" w:cs="Arial"/>
          <w:color w:val="000000"/>
          <w:sz w:val="24"/>
          <w:szCs w:val="24"/>
        </w:rPr>
        <w:t xml:space="preserve">ts arising directly from the contract of employment of the Transferring Former Supplier Employee and/or Transferring Buyer Employee, </w:t>
      </w:r>
    </w:p>
    <w:p w:rsidR="00903FF0" w:rsidRDefault="00B11496">
      <w:pPr>
        <w:pBdr>
          <w:top w:val="nil"/>
          <w:left w:val="nil"/>
          <w:bottom w:val="nil"/>
          <w:right w:val="nil"/>
          <w:between w:val="nil"/>
        </w:pBdr>
        <w:tabs>
          <w:tab w:val="left" w:pos="1985"/>
        </w:tabs>
        <w:spacing w:before="120" w:after="120"/>
        <w:ind w:left="1620" w:hanging="720"/>
        <w:rPr>
          <w:rFonts w:ascii="Arial" w:eastAsia="Arial" w:hAnsi="Arial" w:cs="Arial"/>
          <w:color w:val="000000"/>
          <w:sz w:val="24"/>
          <w:szCs w:val="24"/>
        </w:rPr>
      </w:pPr>
      <w:r>
        <w:rPr>
          <w:rFonts w:ascii="Arial" w:eastAsia="Arial" w:hAnsi="Arial" w:cs="Arial"/>
          <w:color w:val="000000"/>
          <w:sz w:val="24"/>
          <w:szCs w:val="24"/>
        </w:rPr>
        <w:t xml:space="preserve">and where a full breakdown and supporting evidence is submitted in support of a request to adjust the Further Competition </w:t>
      </w:r>
      <w:r>
        <w:rPr>
          <w:rFonts w:ascii="Arial" w:eastAsia="Arial" w:hAnsi="Arial" w:cs="Arial"/>
          <w:color w:val="000000"/>
          <w:sz w:val="24"/>
          <w:szCs w:val="24"/>
        </w:rPr>
        <w:t xml:space="preserve">TUPE Risk Premium. </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receipt of the Suppliers calculation of the Further Competition TUPE Risk Premium and, if applicable, a request for a Further Competition TUPE Risk Premium adjustment, the Buyer shall either: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Further Competition TUPE Risk Premium and, if applicable, the Further Competition TUPE Risk Premium adjustment relating to the Relevant Transfer; </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further information/evidence; and/or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a me</w:t>
      </w:r>
      <w:r>
        <w:rPr>
          <w:rFonts w:ascii="Arial" w:eastAsia="Arial" w:hAnsi="Arial" w:cs="Arial"/>
          <w:color w:val="000000"/>
          <w:sz w:val="24"/>
          <w:szCs w:val="24"/>
        </w:rPr>
        <w:t>eting to discuss/clarify the evidence provided.</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Where the Further Competition TUPE Risk Premium is agreed following the receipt of further information/evidence or following a meeting, the Buyer shall notify the Supplier in writing and confirm the Further C</w:t>
      </w:r>
      <w:r>
        <w:rPr>
          <w:rFonts w:ascii="Arial" w:eastAsia="Arial" w:hAnsi="Arial" w:cs="Arial"/>
          <w:color w:val="000000"/>
          <w:sz w:val="24"/>
          <w:szCs w:val="24"/>
        </w:rPr>
        <w:t xml:space="preserve">ompetition TUPE Risk Premium to apply. </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Where the Supplier requests a Further Competition TUPE Risk Premium adjustment and it is agreed by the Buyer, the Further Competition TUPE Risk Premium shall be adjusted accordingly.</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In the event that the Parties are</w:t>
      </w:r>
      <w:r>
        <w:rPr>
          <w:rFonts w:ascii="Arial" w:eastAsia="Arial" w:hAnsi="Arial" w:cs="Arial"/>
          <w:color w:val="000000"/>
          <w:sz w:val="24"/>
          <w:szCs w:val="24"/>
        </w:rPr>
        <w:t xml:space="preserve"> unable to agree either the Further Competition TUPE Risk Premium or, if applicable, the Further Competition TUPE Risk Premium adjustment, the Parties shall follow the Dispute Resolution Procedure.</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On agreement of the Further Competition TUPE Risk Premium </w:t>
      </w:r>
      <w:r>
        <w:rPr>
          <w:rFonts w:ascii="Arial" w:eastAsia="Arial" w:hAnsi="Arial" w:cs="Arial"/>
          <w:color w:val="000000"/>
          <w:sz w:val="24"/>
          <w:szCs w:val="24"/>
        </w:rPr>
        <w:t>the Further Competition TUPE Risk Premium Average shall be calculated and this will be used as the basis for the  annual  review of the Further Competition TUPE Risk Premium.</w:t>
      </w: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b/>
          <w:color w:val="000000"/>
          <w:sz w:val="24"/>
          <w:szCs w:val="24"/>
        </w:rPr>
        <w:t>Annual review of Further Competition TUPE Risk Premium</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The Further Competition TUPE Risk Premium shall be reviewed by the Buyer at the commencement of each Contract Year.</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The Supplier shall submit to the Buyer, no later than 20 Working Days prior to the beginning of each Contract Year, evidence of any change t</w:t>
      </w:r>
      <w:r>
        <w:rPr>
          <w:rFonts w:ascii="Arial" w:eastAsia="Arial" w:hAnsi="Arial" w:cs="Arial"/>
          <w:color w:val="000000"/>
          <w:sz w:val="24"/>
          <w:szCs w:val="24"/>
        </w:rPr>
        <w:t xml:space="preserve">o the TUPE Count in the previous Contract Year or since it was last adjusted. </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Where the TUPE Count is less than the TUPE Count in the previous Contract Year, the Further Competition TUPE Risk Premium shall be adjusted using the following calculation:</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Diff</w:t>
      </w:r>
      <w:r>
        <w:rPr>
          <w:rFonts w:ascii="Arial" w:eastAsia="Arial" w:hAnsi="Arial" w:cs="Arial"/>
          <w:color w:val="000000"/>
          <w:sz w:val="24"/>
          <w:szCs w:val="24"/>
        </w:rPr>
        <w:t>erence in TUPE Count (Previous Contract Year less current Contract Year) x TUPE Risk Premium Average.</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The Buyer shall cease to be liable to pay the Further Competition TUPE Risk Premium Average in respect of a particular Transferring Former Supplier Employ</w:t>
      </w:r>
      <w:r>
        <w:rPr>
          <w:rFonts w:ascii="Arial" w:eastAsia="Arial" w:hAnsi="Arial" w:cs="Arial"/>
          <w:color w:val="000000"/>
          <w:sz w:val="24"/>
          <w:szCs w:val="24"/>
        </w:rPr>
        <w:t>ee or a Transferring Buyer Employee from the date upon which he ceases to be employed by the Supplier or engaged on this Contract (whichever occurs the earliest).</w:t>
      </w:r>
    </w:p>
    <w:p w:rsidR="00903FF0" w:rsidRDefault="00B11496">
      <w:pPr>
        <w:numPr>
          <w:ilvl w:val="3"/>
          <w:numId w:val="2"/>
        </w:numPr>
        <w:pBdr>
          <w:top w:val="nil"/>
          <w:left w:val="nil"/>
          <w:bottom w:val="nil"/>
          <w:right w:val="nil"/>
          <w:between w:val="nil"/>
        </w:pBdr>
        <w:tabs>
          <w:tab w:val="left" w:pos="1985"/>
        </w:tabs>
        <w:spacing w:after="120"/>
        <w:rPr>
          <w:rFonts w:ascii="Arial" w:eastAsia="Arial" w:hAnsi="Arial" w:cs="Arial"/>
          <w:color w:val="000000"/>
          <w:sz w:val="24"/>
          <w:szCs w:val="24"/>
        </w:rPr>
      </w:pPr>
      <w:r>
        <w:rPr>
          <w:rFonts w:ascii="Arial" w:eastAsia="Arial" w:hAnsi="Arial" w:cs="Arial"/>
          <w:color w:val="000000"/>
          <w:sz w:val="24"/>
          <w:szCs w:val="24"/>
        </w:rPr>
        <w:t>If an employee ceases to be employed part way through the year, the TUPE Risk Premium Average allocated to that employee will be deducted on a pro rata basis.</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On receipt of the Supplier’s calculation of the Further Competition TUPE Risk Premium submitted p</w:t>
      </w:r>
      <w:r>
        <w:rPr>
          <w:rFonts w:ascii="Arial" w:eastAsia="Arial" w:hAnsi="Arial" w:cs="Arial"/>
          <w:color w:val="000000"/>
          <w:sz w:val="24"/>
          <w:szCs w:val="24"/>
        </w:rPr>
        <w:t>ursuant to paragraph 2.3.2 the Buyer shall either: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adjusted Further Competition TUPE Risk Premium; or </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further information/evidence; and/or</w:t>
      </w:r>
    </w:p>
    <w:p w:rsidR="00903FF0" w:rsidRDefault="00B11496">
      <w:pPr>
        <w:numPr>
          <w:ilvl w:val="3"/>
          <w:numId w:val="2"/>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w:t>
      </w:r>
      <w:r>
        <w:rPr>
          <w:rFonts w:ascii="Arial" w:eastAsia="Arial" w:hAnsi="Arial" w:cs="Arial"/>
          <w:color w:val="000000"/>
          <w:sz w:val="24"/>
          <w:szCs w:val="24"/>
        </w:rPr>
        <w:t>ed.</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Where the adjustment to the Further Competition TUPE Risk Premium is agreed following the receipt of further information/evidence or following a meeting, the Buyer shall notify the Supplier in writing and confirm the Further Competition TUPE Risk Premi</w:t>
      </w:r>
      <w:r>
        <w:rPr>
          <w:rFonts w:ascii="Arial" w:eastAsia="Arial" w:hAnsi="Arial" w:cs="Arial"/>
          <w:color w:val="000000"/>
          <w:sz w:val="24"/>
          <w:szCs w:val="24"/>
        </w:rPr>
        <w:t xml:space="preserve">um that will apply. </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In the event that the Supplier and the Buyer are unable to agree the adjustment to the Further Competition TUPE Risk Premium, they shall follow the Dispute Resolution Procedure.</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The adjusted Further Competition TUPE Risk Premium shall </w:t>
      </w:r>
      <w:r>
        <w:rPr>
          <w:rFonts w:ascii="Arial" w:eastAsia="Arial" w:hAnsi="Arial" w:cs="Arial"/>
          <w:color w:val="000000"/>
          <w:sz w:val="24"/>
          <w:szCs w:val="24"/>
        </w:rPr>
        <w:t>be used as the benchmark in the subsequent annual review of the Further Competition TUPE Risk Premium.</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Where the adjusted Further Competition TUPE Risk Premium is more than the Further Competition TUPE Risk Premium in the previous Contract Year, the Further Competition TUPE Risk Premium shall not be adjusted</w:t>
      </w:r>
      <w:r>
        <w:rPr>
          <w:rFonts w:ascii="Arial" w:eastAsia="Arial" w:hAnsi="Arial" w:cs="Arial"/>
          <w:b/>
          <w:color w:val="000000"/>
          <w:sz w:val="24"/>
          <w:szCs w:val="24"/>
        </w:rPr>
        <w:t>.</w:t>
      </w: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b/>
          <w:color w:val="000000"/>
          <w:sz w:val="24"/>
          <w:szCs w:val="24"/>
        </w:rPr>
      </w:pPr>
      <w:r>
        <w:rPr>
          <w:rFonts w:ascii="Arial" w:eastAsia="Arial" w:hAnsi="Arial" w:cs="Arial"/>
          <w:b/>
          <w:color w:val="000000"/>
          <w:sz w:val="24"/>
          <w:szCs w:val="24"/>
        </w:rPr>
        <w:t>Right of audit</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The Buyer reserves the right to review and audit the calculation of the Further Competition TUPE Risk Premium at any time. </w:t>
      </w:r>
    </w:p>
    <w:p w:rsidR="00903FF0" w:rsidRDefault="00B11496">
      <w:pPr>
        <w:numPr>
          <w:ilvl w:val="2"/>
          <w:numId w:val="2"/>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Where an overpayment of the Further Competition TUPE Risk Premium is identified following a review and/or audit carried out or by </w:t>
      </w:r>
      <w:r>
        <w:rPr>
          <w:rFonts w:ascii="Arial" w:eastAsia="Arial" w:hAnsi="Arial" w:cs="Arial"/>
          <w:color w:val="000000"/>
          <w:sz w:val="24"/>
          <w:szCs w:val="24"/>
        </w:rPr>
        <w:lastRenderedPageBreak/>
        <w:t>an</w:t>
      </w:r>
      <w:r>
        <w:rPr>
          <w:rFonts w:ascii="Arial" w:eastAsia="Arial" w:hAnsi="Arial" w:cs="Arial"/>
          <w:color w:val="000000"/>
          <w:sz w:val="24"/>
          <w:szCs w:val="24"/>
        </w:rPr>
        <w:t>y other means, the Supplier shall repay to the Buyer any over payment of the Further Competition TUPE Risk Premium within 20 Working Days of being notified or becoming aware of the overpayment.</w:t>
      </w:r>
    </w:p>
    <w:p w:rsidR="00903FF0" w:rsidRDefault="00903FF0">
      <w:pPr>
        <w:pBdr>
          <w:top w:val="nil"/>
          <w:left w:val="nil"/>
          <w:bottom w:val="nil"/>
          <w:right w:val="nil"/>
          <w:between w:val="nil"/>
        </w:pBdr>
        <w:tabs>
          <w:tab w:val="left" w:pos="1985"/>
        </w:tabs>
        <w:spacing w:before="120" w:after="120"/>
        <w:rPr>
          <w:rFonts w:ascii="Arial" w:eastAsia="Arial" w:hAnsi="Arial" w:cs="Arial"/>
          <w:color w:val="000000"/>
          <w:sz w:val="24"/>
          <w:szCs w:val="24"/>
        </w:rPr>
      </w:pPr>
    </w:p>
    <w:p w:rsidR="00903FF0" w:rsidRDefault="00B11496">
      <w:pPr>
        <w:numPr>
          <w:ilvl w:val="0"/>
          <w:numId w:val="2"/>
        </w:numPr>
        <w:pBdr>
          <w:top w:val="nil"/>
          <w:left w:val="nil"/>
          <w:bottom w:val="nil"/>
          <w:right w:val="nil"/>
          <w:between w:val="nil"/>
        </w:pBdr>
        <w:tabs>
          <w:tab w:val="left" w:pos="1134"/>
        </w:tabs>
        <w:spacing w:before="120" w:after="120"/>
        <w:rPr>
          <w:rFonts w:ascii="Arial" w:eastAsia="Arial" w:hAnsi="Arial" w:cs="Arial"/>
          <w:b/>
          <w:color w:val="000000"/>
          <w:sz w:val="24"/>
          <w:szCs w:val="24"/>
        </w:rPr>
      </w:pPr>
      <w:bookmarkStart w:id="8" w:name="_heading=h.1t3h5sf" w:colFirst="0" w:colLast="0"/>
      <w:bookmarkEnd w:id="8"/>
      <w:r>
        <w:rPr>
          <w:rFonts w:ascii="Arial" w:eastAsia="Arial" w:hAnsi="Arial" w:cs="Arial"/>
          <w:b/>
          <w:color w:val="000000"/>
          <w:sz w:val="24"/>
          <w:szCs w:val="24"/>
        </w:rPr>
        <w:t>Option 3 – Further Competition - Fixed Fee TUPE Risk Premium</w:t>
      </w:r>
    </w:p>
    <w:p w:rsidR="00903FF0" w:rsidRDefault="00B11496">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Fixed Fee TUPE Risk Premium shall be priced for at Further Competition as set out in </w:t>
      </w:r>
      <w:r>
        <w:rPr>
          <w:rFonts w:ascii="Arial" w:eastAsia="Arial" w:hAnsi="Arial" w:cs="Arial"/>
          <w:sz w:val="24"/>
          <w:szCs w:val="24"/>
        </w:rPr>
        <w:t>Annex C - Framework Schedule 7 (Call-Off Award Procedure)</w:t>
      </w:r>
      <w:r>
        <w:rPr>
          <w:rFonts w:ascii="Arial" w:eastAsia="Arial" w:hAnsi="Arial" w:cs="Arial"/>
          <w:color w:val="000000"/>
          <w:sz w:val="24"/>
          <w:szCs w:val="24"/>
        </w:rPr>
        <w:t>.</w:t>
      </w:r>
    </w:p>
    <w:p w:rsidR="00903FF0" w:rsidRDefault="00B11496">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and no further adjustments shall be permitted except as set out in paragraph 4 of this Schedule 28 (TUPE Su</w:t>
      </w:r>
      <w:r>
        <w:rPr>
          <w:rFonts w:ascii="Arial" w:eastAsia="Arial" w:hAnsi="Arial" w:cs="Arial"/>
          <w:color w:val="000000"/>
          <w:sz w:val="24"/>
          <w:szCs w:val="24"/>
        </w:rPr>
        <w:t>rcharge).</w:t>
      </w:r>
    </w:p>
    <w:p w:rsidR="00903FF0" w:rsidRDefault="00903FF0">
      <w:pPr>
        <w:pBdr>
          <w:top w:val="nil"/>
          <w:left w:val="nil"/>
          <w:bottom w:val="nil"/>
          <w:right w:val="nil"/>
          <w:between w:val="nil"/>
        </w:pBdr>
        <w:tabs>
          <w:tab w:val="left" w:pos="1134"/>
        </w:tabs>
        <w:spacing w:before="120" w:after="120"/>
        <w:rPr>
          <w:rFonts w:ascii="Arial" w:eastAsia="Arial" w:hAnsi="Arial" w:cs="Arial"/>
          <w:color w:val="000000"/>
          <w:sz w:val="24"/>
          <w:szCs w:val="24"/>
        </w:rPr>
      </w:pPr>
    </w:p>
    <w:p w:rsidR="00903FF0" w:rsidRDefault="00B11496">
      <w:pPr>
        <w:numPr>
          <w:ilvl w:val="0"/>
          <w:numId w:val="2"/>
        </w:num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Employer Pensions Contribution Cap &amp; other pension cost</w:t>
      </w:r>
    </w:p>
    <w:p w:rsidR="00903FF0" w:rsidRDefault="00B11496">
      <w:pPr>
        <w:numPr>
          <w:ilvl w:val="1"/>
          <w:numId w:val="2"/>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color w:val="000000"/>
          <w:sz w:val="24"/>
          <w:szCs w:val="24"/>
        </w:rPr>
        <w:t>For options detailed at paragraphs 1, 2 and 3 above the following shall apply.</w:t>
      </w:r>
    </w:p>
    <w:p w:rsidR="00903FF0" w:rsidRDefault="00903FF0">
      <w:pPr>
        <w:pBdr>
          <w:top w:val="nil"/>
          <w:left w:val="nil"/>
          <w:bottom w:val="nil"/>
          <w:right w:val="nil"/>
          <w:between w:val="nil"/>
        </w:pBdr>
        <w:tabs>
          <w:tab w:val="left" w:pos="1985"/>
        </w:tabs>
        <w:spacing w:before="120" w:after="120"/>
        <w:ind w:left="1620" w:hanging="720"/>
        <w:rPr>
          <w:rFonts w:ascii="Arial" w:eastAsia="Arial" w:hAnsi="Arial" w:cs="Arial"/>
          <w:color w:val="000000"/>
          <w:sz w:val="24"/>
          <w:szCs w:val="24"/>
        </w:rPr>
      </w:pPr>
    </w:p>
    <w:p w:rsidR="00903FF0" w:rsidRDefault="00B11496">
      <w:pPr>
        <w:numPr>
          <w:ilvl w:val="2"/>
          <w:numId w:val="1"/>
        </w:numPr>
        <w:pBdr>
          <w:top w:val="nil"/>
          <w:left w:val="nil"/>
          <w:bottom w:val="nil"/>
          <w:right w:val="nil"/>
          <w:between w:val="nil"/>
        </w:pBdr>
        <w:tabs>
          <w:tab w:val="left" w:pos="175"/>
        </w:tabs>
        <w:spacing w:after="120"/>
        <w:ind w:left="1620"/>
        <w:rPr>
          <w:rFonts w:ascii="Arial" w:eastAsia="Arial" w:hAnsi="Arial" w:cs="Arial"/>
          <w:color w:val="000000"/>
          <w:sz w:val="24"/>
          <w:szCs w:val="24"/>
        </w:rPr>
      </w:pPr>
      <w:r>
        <w:rPr>
          <w:rFonts w:ascii="Arial" w:eastAsia="Arial" w:hAnsi="Arial" w:cs="Arial"/>
          <w:color w:val="000000"/>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w:t>
      </w:r>
      <w:r>
        <w:rPr>
          <w:rFonts w:ascii="Arial" w:eastAsia="Arial" w:hAnsi="Arial" w:cs="Arial"/>
          <w:color w:val="000000"/>
          <w:sz w:val="24"/>
          <w:szCs w:val="24"/>
        </w:rPr>
        <w:t>sion adjustment must be submitted to the Buyer no later than 20 Working Days after the end of the relevant Contract Year.</w:t>
      </w:r>
    </w:p>
    <w:p w:rsidR="00903FF0" w:rsidRDefault="00B11496">
      <w:pPr>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If the Supplier requests a pension adjustment in accordance with the provisions of paragraph 4.1.1. above the TUPE Risk Premium, they must provide sufficient evidence to the Buyer to justify the pension adjustment.</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On receipt of the Supplier's calculation </w:t>
      </w:r>
      <w:r>
        <w:rPr>
          <w:rFonts w:ascii="Arial" w:eastAsia="Arial" w:hAnsi="Arial" w:cs="Arial"/>
          <w:color w:val="000000"/>
          <w:sz w:val="24"/>
          <w:szCs w:val="24"/>
        </w:rPr>
        <w:t>of the  pension adjustment the Buyer shall either:</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pension  adjustment; </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further information/evidence; and/or</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lastRenderedPageBreak/>
        <w:t>Where the pension adjustm</w:t>
      </w:r>
      <w:r>
        <w:rPr>
          <w:rFonts w:ascii="Arial" w:eastAsia="Arial" w:hAnsi="Arial" w:cs="Arial"/>
          <w:color w:val="000000"/>
          <w:sz w:val="24"/>
          <w:szCs w:val="24"/>
        </w:rPr>
        <w:t xml:space="preserve">ent in Paragraph 4.1.1 is agreed following the receipt of further information/evidence or following a meeting, the Buyer shall notify the Supplier in writing. </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In the event that the Supplier and the Buyer are unable to agree the pension adjustment, they sh</w:t>
      </w:r>
      <w:r>
        <w:rPr>
          <w:rFonts w:ascii="Arial" w:eastAsia="Arial" w:hAnsi="Arial" w:cs="Arial"/>
          <w:color w:val="000000"/>
          <w:sz w:val="24"/>
          <w:szCs w:val="24"/>
        </w:rPr>
        <w:t xml:space="preserve">all follow the Dispute Resolution Procedure. </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If paragraph 4.1.4 above applies, the excess amount calculated for the pension adjustment is not included in any calculation of the TUPE Risk Premium Average.</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Any pension adjustment agreed by the Buyer over the Employer Pension Contribution Cap or in respect of Other Pension Cost shall be paid within timescales as agreed between Buyer and Supplier</w:t>
      </w:r>
    </w:p>
    <w:p w:rsidR="00903FF0" w:rsidRDefault="00B11496">
      <w:pPr>
        <w:numPr>
          <w:ilvl w:val="0"/>
          <w:numId w:val="1"/>
        </w:numPr>
        <w:pBdr>
          <w:top w:val="nil"/>
          <w:left w:val="nil"/>
          <w:bottom w:val="nil"/>
          <w:right w:val="nil"/>
          <w:between w:val="nil"/>
        </w:pBdr>
        <w:tabs>
          <w:tab w:val="left" w:pos="175"/>
        </w:tabs>
        <w:spacing w:after="120"/>
        <w:rPr>
          <w:rFonts w:ascii="Arial" w:eastAsia="Arial" w:hAnsi="Arial" w:cs="Arial"/>
          <w:b/>
          <w:color w:val="000000"/>
          <w:sz w:val="24"/>
          <w:szCs w:val="24"/>
        </w:rPr>
      </w:pPr>
      <w:r>
        <w:rPr>
          <w:rFonts w:ascii="Arial" w:eastAsia="Arial" w:hAnsi="Arial" w:cs="Arial"/>
          <w:b/>
          <w:color w:val="000000"/>
          <w:sz w:val="24"/>
          <w:szCs w:val="24"/>
        </w:rPr>
        <w:t>Cost of Change</w:t>
      </w:r>
    </w:p>
    <w:p w:rsidR="00903FF0" w:rsidRDefault="00B11496">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Option 1 and 2 Direct Award TUPE Risk Premium and </w:t>
      </w:r>
      <w:r>
        <w:rPr>
          <w:rFonts w:ascii="Arial" w:eastAsia="Arial" w:hAnsi="Arial" w:cs="Arial"/>
          <w:color w:val="000000"/>
          <w:sz w:val="24"/>
          <w:szCs w:val="24"/>
        </w:rPr>
        <w:t>Further Competition TUPE Risk Premium.</w:t>
      </w:r>
    </w:p>
    <w:p w:rsidR="00903FF0" w:rsidRDefault="00B11496">
      <w:pPr>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If the Supplier requests a post award adjustment, they must provide sufficient evidence to the Buyer to justify the post award adjustment.</w:t>
      </w:r>
    </w:p>
    <w:p w:rsidR="00903FF0" w:rsidRDefault="00B11496">
      <w:pPr>
        <w:keepNext/>
        <w:numPr>
          <w:ilvl w:val="2"/>
          <w:numId w:val="1"/>
        </w:numPr>
        <w:pBdr>
          <w:top w:val="nil"/>
          <w:left w:val="nil"/>
          <w:bottom w:val="nil"/>
          <w:right w:val="nil"/>
          <w:between w:val="nil"/>
        </w:pBdr>
        <w:tabs>
          <w:tab w:val="left" w:pos="1985"/>
        </w:tabs>
        <w:spacing w:before="120" w:after="120"/>
        <w:ind w:left="1620"/>
        <w:rPr>
          <w:rFonts w:ascii="Arial" w:eastAsia="Arial" w:hAnsi="Arial" w:cs="Arial"/>
          <w:color w:val="000000"/>
          <w:sz w:val="24"/>
          <w:szCs w:val="24"/>
        </w:rPr>
      </w:pPr>
      <w:r>
        <w:rPr>
          <w:rFonts w:ascii="Arial" w:eastAsia="Arial" w:hAnsi="Arial" w:cs="Arial"/>
          <w:color w:val="000000"/>
          <w:sz w:val="24"/>
          <w:szCs w:val="24"/>
        </w:rPr>
        <w:t>On receipt of the Suppliers calculation of the post award adjustment the Buyer shall either:</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Notify the Supplier in writing of acceptance of the Cost of Change adjustments, or</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further information/evidence; and/or</w:t>
      </w:r>
    </w:p>
    <w:p w:rsidR="00903FF0" w:rsidRDefault="00B11496">
      <w:pPr>
        <w:numPr>
          <w:ilvl w:val="3"/>
          <w:numId w:val="1"/>
        </w:numPr>
        <w:pBdr>
          <w:top w:val="nil"/>
          <w:left w:val="nil"/>
          <w:bottom w:val="nil"/>
          <w:right w:val="nil"/>
          <w:between w:val="nil"/>
        </w:pBdr>
        <w:tabs>
          <w:tab w:val="left" w:pos="1985"/>
        </w:tabs>
        <w:spacing w:before="120" w:after="120"/>
        <w:ind w:left="2610" w:hanging="990"/>
        <w:rPr>
          <w:rFonts w:ascii="Arial" w:eastAsia="Arial" w:hAnsi="Arial" w:cs="Arial"/>
          <w:color w:val="000000"/>
          <w:sz w:val="24"/>
          <w:szCs w:val="24"/>
        </w:rPr>
      </w:pPr>
      <w:r>
        <w:rPr>
          <w:rFonts w:ascii="Arial" w:eastAsia="Arial" w:hAnsi="Arial" w:cs="Arial"/>
          <w:color w:val="000000"/>
          <w:sz w:val="24"/>
          <w:szCs w:val="24"/>
        </w:rPr>
        <w:t>Request a meeting to discuss/clarif</w:t>
      </w:r>
      <w:r>
        <w:rPr>
          <w:rFonts w:ascii="Arial" w:eastAsia="Arial" w:hAnsi="Arial" w:cs="Arial"/>
          <w:color w:val="000000"/>
          <w:sz w:val="24"/>
          <w:szCs w:val="24"/>
        </w:rPr>
        <w:t>y the evidence provided.</w:t>
      </w:r>
    </w:p>
    <w:p w:rsidR="00903FF0" w:rsidRDefault="00B11496">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Option 3 – Further Competition Fixed Fee TUPE Risk Premium</w:t>
      </w:r>
    </w:p>
    <w:p w:rsidR="00903FF0" w:rsidRDefault="00B11496">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There shall be no post award adjustment to Cost of Change.</w:t>
      </w:r>
    </w:p>
    <w:p w:rsidR="00903FF0" w:rsidRDefault="00903FF0">
      <w:pPr>
        <w:pBdr>
          <w:top w:val="nil"/>
          <w:left w:val="nil"/>
          <w:bottom w:val="nil"/>
          <w:right w:val="nil"/>
          <w:between w:val="nil"/>
        </w:pBdr>
        <w:tabs>
          <w:tab w:val="left" w:pos="1134"/>
        </w:tabs>
        <w:spacing w:before="120" w:after="120"/>
        <w:ind w:left="1078" w:hanging="579"/>
        <w:rPr>
          <w:rFonts w:ascii="Arial" w:eastAsia="Arial" w:hAnsi="Arial" w:cs="Arial"/>
          <w:color w:val="000000"/>
          <w:sz w:val="24"/>
          <w:szCs w:val="24"/>
        </w:rPr>
      </w:pPr>
    </w:p>
    <w:p w:rsidR="00903FF0" w:rsidRDefault="00B11496">
      <w:pPr>
        <w:spacing w:after="0"/>
        <w:jc w:val="left"/>
        <w:rPr>
          <w:rFonts w:ascii="Arial" w:eastAsia="Arial" w:hAnsi="Arial" w:cs="Arial"/>
          <w:color w:val="000000"/>
          <w:sz w:val="24"/>
          <w:szCs w:val="24"/>
        </w:rPr>
      </w:pPr>
      <w:r>
        <w:rPr>
          <w:rFonts w:ascii="Arial" w:eastAsia="Arial" w:hAnsi="Arial" w:cs="Arial"/>
          <w:color w:val="000000"/>
          <w:sz w:val="24"/>
          <w:szCs w:val="24"/>
        </w:rPr>
        <w:t xml:space="preserve"> </w:t>
      </w:r>
    </w:p>
    <w:sectPr w:rsidR="00903F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496" w:rsidRDefault="00B11496">
      <w:pPr>
        <w:spacing w:after="0"/>
      </w:pPr>
      <w:r>
        <w:separator/>
      </w:r>
    </w:p>
  </w:endnote>
  <w:endnote w:type="continuationSeparator" w:id="0">
    <w:p w:rsidR="00B11496" w:rsidRDefault="00B11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903FF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B11496">
    <w:pPr>
      <w:spacing w:after="0" w:line="276" w:lineRule="auto"/>
      <w:rPr>
        <w:rFonts w:ascii="Arial" w:eastAsia="Arial" w:hAnsi="Arial" w:cs="Arial"/>
        <w:sz w:val="20"/>
        <w:szCs w:val="20"/>
      </w:rPr>
    </w:pPr>
    <w:r>
      <w:rPr>
        <w:rFonts w:ascii="Arial" w:eastAsia="Arial" w:hAnsi="Arial" w:cs="Arial"/>
        <w:sz w:val="20"/>
        <w:szCs w:val="20"/>
      </w:rPr>
      <w:t>Framework Ref: RM6331</w:t>
    </w:r>
  </w:p>
  <w:p w:rsidR="00903FF0" w:rsidRDefault="00B11496">
    <w:pPr>
      <w:spacing w:after="0" w:line="276" w:lineRule="auto"/>
      <w:rPr>
        <w:rFonts w:ascii="Arial" w:eastAsia="Arial" w:hAnsi="Arial" w:cs="Arial"/>
        <w:sz w:val="20"/>
        <w:szCs w:val="20"/>
      </w:rPr>
    </w:pPr>
    <w:bookmarkStart w:id="12" w:name="_heading=h.3rdcrjn" w:colFirst="0" w:colLast="0"/>
    <w:bookmarkEnd w:id="12"/>
    <w:r>
      <w:rPr>
        <w:rFonts w:ascii="Arial" w:eastAsia="Arial" w:hAnsi="Arial" w:cs="Arial"/>
        <w:sz w:val="20"/>
        <w:szCs w:val="20"/>
      </w:rPr>
      <w:t>Project Ref: v2.0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5E04AA">
      <w:rPr>
        <w:rFonts w:ascii="Arial" w:eastAsia="Arial" w:hAnsi="Arial" w:cs="Arial"/>
        <w:sz w:val="20"/>
        <w:szCs w:val="20"/>
      </w:rPr>
      <w:fldChar w:fldCharType="separate"/>
    </w:r>
    <w:r w:rsidR="005E04AA">
      <w:rPr>
        <w:rFonts w:ascii="Arial" w:eastAsia="Arial" w:hAnsi="Arial" w:cs="Arial"/>
        <w:noProof/>
        <w:sz w:val="20"/>
        <w:szCs w:val="20"/>
      </w:rPr>
      <w:t>1</w:t>
    </w:r>
    <w:r>
      <w:rPr>
        <w:rFonts w:ascii="Arial" w:eastAsia="Arial" w:hAnsi="Arial" w:cs="Arial"/>
        <w:sz w:val="20"/>
        <w:szCs w:val="20"/>
      </w:rPr>
      <w:fldChar w:fldCharType="end"/>
    </w:r>
  </w:p>
  <w:p w:rsidR="00903FF0" w:rsidRDefault="00B11496">
    <w:pPr>
      <w:spacing w:after="0" w:line="276" w:lineRule="auto"/>
      <w:rPr>
        <w:rFonts w:ascii="Arial" w:eastAsia="Arial" w:hAnsi="Arial" w:cs="Arial"/>
        <w:sz w:val="20"/>
        <w:szCs w:val="20"/>
      </w:rPr>
    </w:pPr>
    <w:r>
      <w:rPr>
        <w:rFonts w:ascii="Arial" w:eastAsia="Arial" w:hAnsi="Arial" w:cs="Arial"/>
        <w:sz w:val="20"/>
        <w:szCs w:val="20"/>
      </w:rPr>
      <w:t>Model Ref: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903FF0">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496" w:rsidRDefault="00B11496">
      <w:pPr>
        <w:spacing w:after="0"/>
      </w:pPr>
      <w:r>
        <w:separator/>
      </w:r>
    </w:p>
  </w:footnote>
  <w:footnote w:type="continuationSeparator" w:id="0">
    <w:p w:rsidR="00B11496" w:rsidRDefault="00B11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903FF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B11496">
    <w:pPr>
      <w:tabs>
        <w:tab w:val="center" w:pos="4513"/>
        <w:tab w:val="right" w:pos="9026"/>
      </w:tabs>
      <w:spacing w:after="0"/>
      <w:jc w:val="left"/>
      <w:rPr>
        <w:rFonts w:ascii="Arial" w:eastAsia="Arial" w:hAnsi="Arial" w:cs="Arial"/>
        <w:b/>
        <w:sz w:val="20"/>
        <w:szCs w:val="20"/>
      </w:rPr>
    </w:pPr>
    <w:r>
      <w:rPr>
        <w:rFonts w:ascii="Arial" w:eastAsia="Arial" w:hAnsi="Arial" w:cs="Arial"/>
        <w:b/>
        <w:sz w:val="20"/>
        <w:szCs w:val="20"/>
      </w:rPr>
      <w:t>Call-Off Schedule</w:t>
    </w:r>
    <w:r>
      <w:rPr>
        <w:rFonts w:ascii="Arial" w:eastAsia="Arial" w:hAnsi="Arial" w:cs="Arial"/>
        <w:b/>
        <w:sz w:val="20"/>
        <w:szCs w:val="20"/>
        <w:highlight w:val="white"/>
      </w:rPr>
      <w:t xml:space="preserve"> 28 </w:t>
    </w:r>
    <w:r>
      <w:rPr>
        <w:rFonts w:ascii="Arial" w:eastAsia="Arial" w:hAnsi="Arial" w:cs="Arial"/>
        <w:b/>
        <w:sz w:val="20"/>
        <w:szCs w:val="20"/>
      </w:rPr>
      <w:t>(TUPE Surcharge)</w:t>
    </w:r>
  </w:p>
  <w:p w:rsidR="00903FF0" w:rsidRDefault="00B11496">
    <w:pPr>
      <w:tabs>
        <w:tab w:val="center" w:pos="4513"/>
        <w:tab w:val="right" w:pos="9026"/>
      </w:tabs>
      <w:spacing w:after="0"/>
      <w:jc w:val="left"/>
      <w:rPr>
        <w:rFonts w:ascii="Arial" w:eastAsia="Arial" w:hAnsi="Arial" w:cs="Arial"/>
        <w:sz w:val="20"/>
        <w:szCs w:val="20"/>
      </w:rPr>
    </w:pPr>
    <w:bookmarkStart w:id="11" w:name="_heading=h.17dp8vu" w:colFirst="0" w:colLast="0"/>
    <w:bookmarkEnd w:id="11"/>
    <w:r>
      <w:rPr>
        <w:rFonts w:ascii="Arial" w:eastAsia="Arial" w:hAnsi="Arial" w:cs="Arial"/>
        <w:sz w:val="20"/>
        <w:szCs w:val="20"/>
      </w:rPr>
      <w:t xml:space="preserve">Call-Off Ref: </w:t>
    </w:r>
  </w:p>
  <w:p w:rsidR="00903FF0" w:rsidRDefault="00B11496">
    <w:pPr>
      <w:tabs>
        <w:tab w:val="center" w:pos="4513"/>
        <w:tab w:val="right" w:pos="9026"/>
      </w:tabs>
      <w:spacing w:after="0"/>
      <w:jc w:val="left"/>
      <w:rPr>
        <w:rFonts w:ascii="Arial" w:eastAsia="Arial" w:hAnsi="Arial" w:cs="Arial"/>
        <w:sz w:val="20"/>
        <w:szCs w:val="20"/>
      </w:rPr>
    </w:pPr>
    <w:r>
      <w:rPr>
        <w:rFonts w:ascii="Arial" w:eastAsia="Arial" w:hAnsi="Arial" w:cs="Arial"/>
        <w:sz w:val="20"/>
        <w:szCs w:val="20"/>
      </w:rPr>
      <w:t>Crown Copyright 2021</w:t>
    </w:r>
  </w:p>
  <w:p w:rsidR="00903FF0" w:rsidRDefault="00903FF0">
    <w:pPr>
      <w:tabs>
        <w:tab w:val="center" w:pos="4513"/>
        <w:tab w:val="right" w:pos="9026"/>
      </w:tabs>
      <w:spacing w:after="0"/>
      <w:jc w:val="right"/>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FF0" w:rsidRDefault="00903FF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C2CC8"/>
    <w:multiLevelType w:val="multilevel"/>
    <w:tmpl w:val="68B8E2A6"/>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eastAsia="Arial" w:hAnsi="Arial" w:cs="Arial"/>
        <w:b w:val="0"/>
        <w:color w:val="000000"/>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1" w15:restartNumberingAfterBreak="0">
    <w:nsid w:val="43C5123A"/>
    <w:multiLevelType w:val="multilevel"/>
    <w:tmpl w:val="D3C83522"/>
    <w:lvl w:ilvl="0">
      <w:start w:val="1"/>
      <w:numFmt w:val="decimal"/>
      <w:lvlText w:val="%1."/>
      <w:lvlJc w:val="left"/>
      <w:pPr>
        <w:ind w:left="502" w:hanging="360"/>
      </w:pPr>
      <w:rPr>
        <w:rFonts w:ascii="Arial" w:eastAsia="Arial" w:hAnsi="Arial" w:cs="Arial"/>
        <w:b/>
      </w:rPr>
    </w:lvl>
    <w:lvl w:ilvl="1">
      <w:start w:val="1"/>
      <w:numFmt w:val="decimal"/>
      <w:lvlText w:val="%1.%2."/>
      <w:lvlJc w:val="left"/>
      <w:pPr>
        <w:ind w:left="1078" w:hanging="579"/>
      </w:pPr>
      <w:rPr>
        <w:rFonts w:ascii="Arial" w:eastAsia="Arial" w:hAnsi="Arial" w:cs="Arial"/>
        <w:b w:val="0"/>
      </w:rPr>
    </w:lvl>
    <w:lvl w:ilvl="2">
      <w:start w:val="1"/>
      <w:numFmt w:val="decimal"/>
      <w:lvlText w:val="%1.%2.%3."/>
      <w:lvlJc w:val="left"/>
      <w:pPr>
        <w:ind w:left="1798" w:hanging="720"/>
      </w:pPr>
      <w:rPr>
        <w:rFonts w:ascii="Arial" w:eastAsia="Arial" w:hAnsi="Arial" w:cs="Arial"/>
        <w:b w:val="0"/>
      </w:rPr>
    </w:lvl>
    <w:lvl w:ilvl="3">
      <w:start w:val="1"/>
      <w:numFmt w:val="lowerLetter"/>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FF0"/>
    <w:rsid w:val="005E04AA"/>
    <w:rsid w:val="00903FF0"/>
    <w:rsid w:val="00B114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after="0"/>
      <w:jc w:val="left"/>
      <w:outlineLvl w:val="0"/>
    </w:pPr>
    <w:rPr>
      <w:rFonts w:ascii="Times New Roman" w:eastAsia="Times New Roman" w:hAnsi="Times New Roman" w:cs="Times New Roman"/>
      <w:i/>
      <w:sz w:val="18"/>
      <w:szCs w:val="18"/>
    </w:rPr>
  </w:style>
  <w:style w:type="paragraph" w:styleId="Heading2">
    <w:name w:val="heading 2"/>
    <w:basedOn w:val="Normal"/>
    <w:next w:val="Normal"/>
    <w:uiPriority w:val="9"/>
    <w:semiHidden/>
    <w:unhideWhenUsed/>
    <w:qFormat/>
    <w:pPr>
      <w:ind w:left="862" w:hanging="720"/>
      <w:outlineLvl w:val="1"/>
    </w:pPr>
  </w:style>
  <w:style w:type="paragraph" w:styleId="Heading3">
    <w:name w:val="heading 3"/>
    <w:basedOn w:val="Normal"/>
    <w:next w:val="Normal"/>
    <w:uiPriority w:val="9"/>
    <w:semiHidden/>
    <w:unhideWhenUsed/>
    <w:qFormat/>
    <w:pPr>
      <w:keepNext/>
      <w:spacing w:before="240" w:after="60" w:line="276" w:lineRule="auto"/>
      <w:jc w:val="left"/>
      <w:outlineLvl w:val="2"/>
    </w:pPr>
    <w:rPr>
      <w:rFonts w:ascii="Cambria" w:eastAsia="Cambria" w:hAnsi="Cambria" w:cs="Cambria"/>
      <w:b/>
      <w:sz w:val="26"/>
      <w:szCs w:val="26"/>
    </w:rPr>
  </w:style>
  <w:style w:type="paragraph" w:styleId="Heading4">
    <w:name w:val="heading 4"/>
    <w:basedOn w:val="Normal"/>
    <w:next w:val="Normal"/>
    <w:uiPriority w:val="9"/>
    <w:semiHidden/>
    <w:unhideWhenUsed/>
    <w:qFormat/>
    <w:pPr>
      <w:ind w:left="2781" w:hanging="1080"/>
      <w:outlineLvl w:val="3"/>
    </w:pPr>
  </w:style>
  <w:style w:type="paragraph" w:styleId="Heading5">
    <w:name w:val="heading 5"/>
    <w:basedOn w:val="Normal"/>
    <w:next w:val="Normal"/>
    <w:uiPriority w:val="9"/>
    <w:semiHidden/>
    <w:unhideWhenUsed/>
    <w:qFormat/>
    <w:pPr>
      <w:ind w:left="3600" w:hanging="720"/>
      <w:outlineLvl w:val="4"/>
    </w:pPr>
  </w:style>
  <w:style w:type="paragraph" w:styleId="Heading6">
    <w:name w:val="heading 6"/>
    <w:basedOn w:val="Normal"/>
    <w:next w:val="Normal"/>
    <w:uiPriority w:val="9"/>
    <w:semiHidden/>
    <w:unhideWhenUsed/>
    <w:qFormat/>
    <w:pPr>
      <w:ind w:left="4320" w:hanging="72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ge28fp2g4fK+Y3cP4iFXOrQ+XQ==">CgMxLjAyCGguZ2pkZ3hzMgloLjMwajB6bGwyCWguMWZvYjl0ZTIJaC4zem55c2g3MgloLjJldDkycDAyCGgudHlqY3d0MgloLjNkeTZ2a20yCWguMXQzaDVzZjIJaC40ZDM0b2c4MgloLjJzOGV5bzEyCWguMTdkcDh2dTIJaC4zcmRjcmpuOAByITFPdXZOQnZRVkg2cEhMZmRyc0U4anQ5UG56SzY2TWFQcQ==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Sian Moulton</dc:creator>
  <cp:lastModifiedBy>Sian Moulton</cp:lastModifiedBy>
  <cp:revision>2</cp:revision>
  <dcterms:created xsi:type="dcterms:W3CDTF">2025-01-14T13:42:00Z</dcterms:created>
  <dcterms:modified xsi:type="dcterms:W3CDTF">2025-01-14T13:42:00Z</dcterms:modified>
</cp:coreProperties>
</file>